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504F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等线" w:cs="Arial"/>
          <w:b/>
          <w:bCs/>
          <w:highlight w:val="yellow"/>
          <w:lang w:val="en-US" w:eastAsia="zh-CN"/>
        </w:rPr>
      </w:pPr>
      <w:bookmarkStart w:id="0" w:name="_Hlk130672791"/>
      <w:r>
        <w:rPr>
          <w:rFonts w:ascii="Arial" w:hAnsi="Arial" w:eastAsia="等线" w:cs="Arial"/>
          <w:b/>
          <w:bCs/>
        </w:rPr>
        <w:t xml:space="preserve">3GPP TSG-RAN WG4 Meeting # </w:t>
      </w:r>
      <w:r>
        <w:rPr>
          <w:rFonts w:ascii="Arial" w:hAnsi="Arial" w:eastAsia="等线" w:cs="Arial"/>
          <w:b/>
        </w:rPr>
        <w:t>1</w:t>
      </w:r>
      <w:bookmarkStart w:id="1" w:name="_Hlk41145946"/>
      <w:r>
        <w:rPr>
          <w:rFonts w:hint="eastAsia" w:ascii="Arial" w:hAnsi="Arial" w:eastAsia="等线" w:cs="Arial"/>
          <w:b/>
          <w:lang w:val="en-US" w:eastAsia="zh-CN"/>
        </w:rPr>
        <w:t>15</w:t>
      </w:r>
      <w:r>
        <w:rPr>
          <w:rFonts w:ascii="Arial" w:hAnsi="Arial" w:eastAsia="等线" w:cs="Arial"/>
          <w:b/>
        </w:rPr>
        <w:tab/>
      </w:r>
      <w:r>
        <w:rPr>
          <w:rFonts w:ascii="Arial" w:hAnsi="Arial" w:eastAsia="等线" w:cs="Arial"/>
          <w:b/>
          <w:bCs/>
        </w:rPr>
        <w:tab/>
      </w:r>
      <w:r>
        <w:rPr>
          <w:rFonts w:ascii="Arial" w:hAnsi="Arial" w:eastAsia="等线" w:cs="Arial"/>
          <w:b/>
          <w:bCs/>
        </w:rPr>
        <w:t>R4</w:t>
      </w:r>
      <w:r>
        <w:rPr>
          <w:rFonts w:ascii="Arial" w:hAnsi="Arial" w:eastAsia="等线" w:cs="Arial"/>
          <w:b/>
          <w:bCs/>
          <w:highlight w:val="none"/>
        </w:rPr>
        <w:t>-2</w:t>
      </w:r>
      <w:bookmarkEnd w:id="1"/>
      <w:r>
        <w:rPr>
          <w:rFonts w:hint="eastAsia" w:ascii="Arial" w:hAnsi="Arial" w:eastAsia="等线" w:cs="Arial"/>
          <w:b/>
          <w:bCs/>
          <w:highlight w:val="none"/>
          <w:lang w:val="en-US" w:eastAsia="zh-CN"/>
        </w:rPr>
        <w:t>506436</w:t>
      </w:r>
      <w:bookmarkStart w:id="10" w:name="_GoBack"/>
      <w:bookmarkEnd w:id="10"/>
    </w:p>
    <w:p w14:paraId="170F4F4F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 2025</w:t>
      </w:r>
    </w:p>
    <w:bookmarkEnd w:id="0"/>
    <w:p w14:paraId="6DCE2007">
      <w:pPr>
        <w:tabs>
          <w:tab w:val="left" w:pos="1985"/>
        </w:tabs>
        <w:rPr>
          <w:b/>
          <w:sz w:val="22"/>
        </w:rPr>
      </w:pPr>
    </w:p>
    <w:p w14:paraId="23AD3A47">
      <w:pPr>
        <w:tabs>
          <w:tab w:val="left" w:pos="1765"/>
          <w:tab w:val="center" w:pos="4557"/>
        </w:tabs>
        <w:rPr>
          <w:rFonts w:hint="eastAsia" w:eastAsiaTheme="minorEastAsia"/>
          <w:b/>
          <w:sz w:val="22"/>
          <w:lang w:eastAsia="zh-CN"/>
        </w:rPr>
      </w:pPr>
      <w:r>
        <w:rPr>
          <w:b/>
          <w:sz w:val="22"/>
        </w:rPr>
        <w:t>Agenda</w:t>
      </w:r>
      <w:r>
        <w:rPr>
          <w:b/>
          <w:sz w:val="22"/>
          <w:highlight w:val="none"/>
        </w:rPr>
        <w:t xml:space="preserve"> Item: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7</w:t>
      </w:r>
      <w:r>
        <w:rPr>
          <w:sz w:val="22"/>
          <w:highlight w:val="none"/>
        </w:rPr>
        <w:t>.</w:t>
      </w:r>
      <w:r>
        <w:rPr>
          <w:rFonts w:hint="eastAsia"/>
          <w:sz w:val="22"/>
          <w:highlight w:val="none"/>
          <w:lang w:val="en-US" w:eastAsia="zh-CN"/>
        </w:rPr>
        <w:t>32</w:t>
      </w:r>
      <w:r>
        <w:rPr>
          <w:sz w:val="22"/>
          <w:highlight w:val="none"/>
        </w:rPr>
        <w:t>.</w:t>
      </w:r>
      <w:r>
        <w:rPr>
          <w:rFonts w:hint="eastAsia"/>
          <w:sz w:val="22"/>
          <w:highlight w:val="none"/>
          <w:lang w:val="en-US" w:eastAsia="zh-CN"/>
        </w:rPr>
        <w:t>5</w:t>
      </w:r>
    </w:p>
    <w:p w14:paraId="428801E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2" w:name="_Hlk41145958"/>
      <w:r>
        <w:rPr>
          <w:sz w:val="22"/>
        </w:rPr>
        <w:t>CMCC</w:t>
      </w:r>
      <w:bookmarkEnd w:id="2"/>
    </w:p>
    <w:p w14:paraId="18BB0B49">
      <w:pPr>
        <w:rPr>
          <w:rFonts w:hint="default" w:eastAsiaTheme="minorEastAsia"/>
          <w:sz w:val="22"/>
          <w:lang w:val="en-US" w:eastAsia="zh-CN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41145953"/>
      <w:bookmarkStart w:id="4" w:name="OLE_LINK8"/>
      <w:bookmarkStart w:id="5" w:name="OLE_LINK7"/>
      <w:r>
        <w:rPr>
          <w:sz w:val="22"/>
        </w:rPr>
        <w:t xml:space="preserve"> Discussion on</w:t>
      </w:r>
      <w:bookmarkEnd w:id="3"/>
      <w:r>
        <w:rPr>
          <w:rFonts w:hint="eastAsia"/>
          <w:sz w:val="22"/>
        </w:rPr>
        <w:t xml:space="preserve"> test cases for </w:t>
      </w:r>
      <w:r>
        <w:rPr>
          <w:rFonts w:hint="eastAsia"/>
          <w:sz w:val="22"/>
          <w:lang w:val="en-US" w:eastAsia="zh-CN"/>
        </w:rPr>
        <w:t>IOT-</w:t>
      </w:r>
      <w:r>
        <w:rPr>
          <w:rFonts w:hint="eastAsia"/>
          <w:sz w:val="22"/>
        </w:rPr>
        <w:t>NTN</w:t>
      </w:r>
      <w:r>
        <w:rPr>
          <w:rFonts w:hint="eastAsia"/>
          <w:sz w:val="22"/>
          <w:lang w:val="en-US" w:eastAsia="zh-CN"/>
        </w:rPr>
        <w:t xml:space="preserve"> Phase 3</w:t>
      </w:r>
    </w:p>
    <w:bookmarkEnd w:id="4"/>
    <w:bookmarkEnd w:id="5"/>
    <w:p w14:paraId="7E41834D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1B3128F6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0B4C479">
      <w:pPr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jc w:val="both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Rel-19 IOT-NTN phase3</w:t>
      </w:r>
      <w:r>
        <w:rPr>
          <w:rFonts w:hint="eastAsia"/>
          <w:sz w:val="20"/>
          <w:szCs w:val="20"/>
        </w:rPr>
        <w:t xml:space="preserve"> core requirements were discussed during RAN4#1</w:t>
      </w:r>
      <w:r>
        <w:rPr>
          <w:rFonts w:hint="eastAsia"/>
          <w:sz w:val="20"/>
          <w:szCs w:val="20"/>
          <w:lang w:val="en-US" w:eastAsia="zh-CN"/>
        </w:rPr>
        <w:t>12</w:t>
      </w:r>
      <w:r>
        <w:rPr>
          <w:rFonts w:hint="eastAsia"/>
          <w:sz w:val="20"/>
          <w:szCs w:val="20"/>
        </w:rPr>
        <w:t xml:space="preserve"> to RAN4#1</w:t>
      </w:r>
      <w:r>
        <w:rPr>
          <w:rFonts w:hint="eastAsia"/>
          <w:sz w:val="20"/>
          <w:szCs w:val="20"/>
          <w:lang w:val="en-US" w:eastAsia="zh-CN"/>
        </w:rPr>
        <w:t>14bis</w:t>
      </w:r>
      <w:r>
        <w:rPr>
          <w:rFonts w:hint="eastAsia"/>
          <w:sz w:val="20"/>
          <w:szCs w:val="20"/>
        </w:rPr>
        <w:t>. According to the TU allocation</w:t>
      </w:r>
      <w:r>
        <w:rPr>
          <w:rFonts w:hint="eastAsia"/>
          <w:sz w:val="20"/>
          <w:szCs w:val="20"/>
          <w:lang w:val="en-US" w:eastAsia="zh-CN"/>
        </w:rPr>
        <w:t xml:space="preserve"> and work plan</w:t>
      </w:r>
      <w:r>
        <w:rPr>
          <w:rFonts w:hint="eastAsia"/>
          <w:sz w:val="20"/>
          <w:szCs w:val="20"/>
        </w:rPr>
        <w:t>, RAN4 is supposed to start the performance part for the WI. In this contribution, we will provide our views on the test cases for </w:t>
      </w:r>
      <w:r>
        <w:rPr>
          <w:rFonts w:hint="eastAsia"/>
          <w:sz w:val="20"/>
          <w:szCs w:val="20"/>
          <w:lang w:val="en-US" w:eastAsia="zh-CN"/>
        </w:rPr>
        <w:t>IOT-NTN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UE</w:t>
      </w:r>
      <w:r>
        <w:rPr>
          <w:rFonts w:hint="eastAsia"/>
          <w:sz w:val="20"/>
          <w:szCs w:val="20"/>
        </w:rPr>
        <w:t xml:space="preserve">. </w:t>
      </w:r>
    </w:p>
    <w:p w14:paraId="5063DA22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6" w:name="_Hlk70326378"/>
      <w:bookmarkStart w:id="7" w:name="OLE_LINK2"/>
      <w:bookmarkStart w:id="8" w:name="OLE_LINK1"/>
      <w:r>
        <w:rPr>
          <w:rFonts w:hint="eastAsia" w:ascii="Times New Roman" w:hAnsi="Times New Roman"/>
          <w:b w:val="0"/>
          <w:bCs w:val="0"/>
          <w:kern w:val="0"/>
          <w:sz w:val="36"/>
          <w:szCs w:val="36"/>
        </w:rPr>
        <w:t>Discussion</w:t>
      </w:r>
    </w:p>
    <w:p w14:paraId="5CD224E1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bookmarkStart w:id="9" w:name="_Hlk133265252"/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Since new procedural requirements have been defined for CB-Msg3 based Random access, the corresponding test cases shall be defined, the test requirements shall wait the progress of the core part.</w:t>
      </w:r>
    </w:p>
    <w:p w14:paraId="69BFDCAE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Besides, in R18, RAN5 didn</w:t>
      </w:r>
      <w:r>
        <w:rPr>
          <w:rFonts w:hint="default" w:eastAsia="宋体" w:cs="Times New Roman"/>
          <w:color w:val="auto"/>
          <w:sz w:val="20"/>
          <w:szCs w:val="20"/>
          <w:lang w:val="en-US" w:eastAsia="zh-CN"/>
        </w:rPr>
        <w:t>’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>t create testing for eMTC NTN UE. Similarly, in perf part, we think RAN4 can also drop the eMTC over NTN, and only define the test cases for NB-IOT UE over NTN.</w:t>
      </w:r>
    </w:p>
    <w:p w14:paraId="70406C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1: Define the CB-Msg3 based Random access test cases for NB-IOT UE over NTN.</w:t>
      </w:r>
    </w:p>
    <w:bookmarkEnd w:id="6"/>
    <w:bookmarkEnd w:id="9"/>
    <w:p w14:paraId="4226773A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2552EADC">
      <w:pPr>
        <w:spacing w:before="60"/>
        <w:rPr>
          <w:sz w:val="20"/>
          <w:szCs w:val="20"/>
        </w:rPr>
      </w:pPr>
      <w:r>
        <w:rPr>
          <w:sz w:val="20"/>
          <w:szCs w:val="20"/>
        </w:rPr>
        <w:t>Based on the discussion above, the following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</w:rPr>
        <w:t xml:space="preserve">proposals are concluded. </w:t>
      </w:r>
      <w:bookmarkEnd w:id="7"/>
      <w:bookmarkEnd w:id="8"/>
    </w:p>
    <w:p w14:paraId="09F962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Proposal 1: Define the CB-Msg3 based Random access test cases for NB-IOT UE over NTN.</w:t>
      </w:r>
    </w:p>
    <w:p w14:paraId="14B45C2E">
      <w:pPr>
        <w:spacing w:before="60"/>
        <w:rPr>
          <w:sz w:val="20"/>
          <w:szCs w:val="20"/>
        </w:rPr>
      </w:pPr>
    </w:p>
    <w:p w14:paraId="5B9FF6AA"/>
    <w:sectPr>
      <w:pgSz w:w="11906" w:h="16838"/>
      <w:pgMar w:top="1440" w:right="986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657"/>
    <w:rsid w:val="00266657"/>
    <w:rsid w:val="009D4A76"/>
    <w:rsid w:val="00D11DCE"/>
    <w:rsid w:val="00E56A55"/>
    <w:rsid w:val="01D64E9E"/>
    <w:rsid w:val="03D86526"/>
    <w:rsid w:val="05524AD2"/>
    <w:rsid w:val="06F75AD2"/>
    <w:rsid w:val="07AC566B"/>
    <w:rsid w:val="07DD0BC7"/>
    <w:rsid w:val="09517472"/>
    <w:rsid w:val="09FB09F5"/>
    <w:rsid w:val="0B497F9D"/>
    <w:rsid w:val="0F7A5B7B"/>
    <w:rsid w:val="0FDD3944"/>
    <w:rsid w:val="10464BC0"/>
    <w:rsid w:val="1173721C"/>
    <w:rsid w:val="12046C67"/>
    <w:rsid w:val="17126F70"/>
    <w:rsid w:val="17747819"/>
    <w:rsid w:val="18BE4A43"/>
    <w:rsid w:val="18D9421B"/>
    <w:rsid w:val="19F05275"/>
    <w:rsid w:val="1B1501FB"/>
    <w:rsid w:val="1CE847F5"/>
    <w:rsid w:val="1D8706B3"/>
    <w:rsid w:val="1FCC1334"/>
    <w:rsid w:val="208F304C"/>
    <w:rsid w:val="218E2946"/>
    <w:rsid w:val="23226087"/>
    <w:rsid w:val="24452905"/>
    <w:rsid w:val="25466E4D"/>
    <w:rsid w:val="296A26AA"/>
    <w:rsid w:val="2A7F138A"/>
    <w:rsid w:val="2CE10DFC"/>
    <w:rsid w:val="2E18387E"/>
    <w:rsid w:val="335825D6"/>
    <w:rsid w:val="3874599A"/>
    <w:rsid w:val="3ACE28A7"/>
    <w:rsid w:val="3C986043"/>
    <w:rsid w:val="3D9F061F"/>
    <w:rsid w:val="3E373ADA"/>
    <w:rsid w:val="3EBD45F1"/>
    <w:rsid w:val="42A52A53"/>
    <w:rsid w:val="44772B8D"/>
    <w:rsid w:val="44794C71"/>
    <w:rsid w:val="46066F60"/>
    <w:rsid w:val="46850C1B"/>
    <w:rsid w:val="46B10109"/>
    <w:rsid w:val="46CE7893"/>
    <w:rsid w:val="47506F6D"/>
    <w:rsid w:val="47B27DFC"/>
    <w:rsid w:val="47E53D33"/>
    <w:rsid w:val="4AFB201B"/>
    <w:rsid w:val="4C4B787D"/>
    <w:rsid w:val="4EEC4C43"/>
    <w:rsid w:val="505C3AE8"/>
    <w:rsid w:val="505C7A00"/>
    <w:rsid w:val="51D83011"/>
    <w:rsid w:val="52A50065"/>
    <w:rsid w:val="54260228"/>
    <w:rsid w:val="59EF76A3"/>
    <w:rsid w:val="5BCC3BCD"/>
    <w:rsid w:val="5BFF75C4"/>
    <w:rsid w:val="5EDF6D5C"/>
    <w:rsid w:val="5FC561E5"/>
    <w:rsid w:val="63A94823"/>
    <w:rsid w:val="63C44F34"/>
    <w:rsid w:val="65FB1716"/>
    <w:rsid w:val="663A164A"/>
    <w:rsid w:val="67525987"/>
    <w:rsid w:val="6B934BAF"/>
    <w:rsid w:val="6D7F3116"/>
    <w:rsid w:val="6F6A106F"/>
    <w:rsid w:val="6FC3127F"/>
    <w:rsid w:val="6FE52AD0"/>
    <w:rsid w:val="71B927E7"/>
    <w:rsid w:val="71EF4499"/>
    <w:rsid w:val="71F52B18"/>
    <w:rsid w:val="72BE025B"/>
    <w:rsid w:val="76A742C8"/>
    <w:rsid w:val="770D5AF8"/>
    <w:rsid w:val="778957B1"/>
    <w:rsid w:val="79CE24BD"/>
    <w:rsid w:val="7B1C10AB"/>
    <w:rsid w:val="7BB46454"/>
    <w:rsid w:val="7C5D6F97"/>
    <w:rsid w:val="7CA61337"/>
    <w:rsid w:val="7CD32EB0"/>
    <w:rsid w:val="7D813F06"/>
    <w:rsid w:val="7E85070A"/>
    <w:rsid w:val="7F01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9"/>
    <w:qFormat/>
    <w:uiPriority w:val="0"/>
  </w:style>
  <w:style w:type="paragraph" w:styleId="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8">
    <w:name w:val="annotation subject"/>
    <w:basedOn w:val="6"/>
    <w:next w:val="6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eastAsia="Times New Roman" w:cs="宋体"/>
    </w:rPr>
  </w:style>
  <w:style w:type="paragraph" w:customStyle="1" w:styleId="14">
    <w:name w:val="B1"/>
    <w:basedOn w:val="7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15">
    <w:name w:val="TAH"/>
    <w:basedOn w:val="16"/>
    <w:qFormat/>
    <w:uiPriority w:val="0"/>
    <w:rPr>
      <w:b/>
    </w:rPr>
  </w:style>
  <w:style w:type="paragraph" w:customStyle="1" w:styleId="16">
    <w:name w:val="TAC"/>
    <w:basedOn w:val="17"/>
    <w:qFormat/>
    <w:uiPriority w:val="0"/>
    <w:pPr>
      <w:jc w:val="center"/>
    </w:pPr>
  </w:style>
  <w:style w:type="paragraph" w:customStyle="1" w:styleId="17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18">
    <w:name w:val="TAN"/>
    <w:basedOn w:val="17"/>
    <w:qFormat/>
    <w:uiPriority w:val="0"/>
    <w:pPr>
      <w:ind w:left="851" w:hanging="851"/>
    </w:pPr>
  </w:style>
  <w:style w:type="character" w:customStyle="1" w:styleId="19">
    <w:name w:val="批注文字 字符"/>
    <w:basedOn w:val="11"/>
    <w:link w:val="6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0">
    <w:name w:val="批注主题 字符"/>
    <w:basedOn w:val="19"/>
    <w:link w:val="8"/>
    <w:qFormat/>
    <w:uiPriority w:val="0"/>
    <w:rPr>
      <w:rFonts w:ascii="Times New Roman" w:hAnsi="Times New Roman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1855</Words>
  <Characters>10574</Characters>
  <Lines>88</Lines>
  <Paragraphs>24</Paragraphs>
  <TotalTime>0</TotalTime>
  <ScaleCrop>false</ScaleCrop>
  <LinksUpToDate>false</LinksUpToDate>
  <CharactersWithSpaces>12405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2023-09-12T01:44:00Z</dcterms:created>
  <dc:creator>cmcc</dc:creator>
  <cp:lastModifiedBy>CMCC-shiyuan</cp:lastModifiedBy>
  <dcterms:modified xsi:type="dcterms:W3CDTF">2025-05-09T07:34:02Z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AD64AC204EA64369A1FB002ABAEC9A42</vt:lpwstr>
  </property>
</Properties>
</file>